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EC106B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C106B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EC106B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EC106B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C106B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C106B">
        <w:rPr>
          <w:rFonts w:ascii="Times New Roman" w:hAnsi="Times New Roman"/>
        </w:rPr>
        <w:t>LIITE IV</w:t>
      </w:r>
    </w:p>
    <w:p w:rsidR="00B66B04" w:rsidRPr="00FD6BEA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66B04" w:rsidRPr="00EC106B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C106B">
        <w:rPr>
          <w:rFonts w:ascii="Times New Roman" w:hAnsi="Times New Roman"/>
        </w:rPr>
        <w:t>TIETEELLISET PÄÄTELMÄT JA PERUSTEET</w:t>
      </w:r>
    </w:p>
    <w:p w:rsidR="008E146B" w:rsidRPr="00EC106B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C106B">
        <w:rPr>
          <w:rFonts w:ascii="Times New Roman" w:hAnsi="Times New Roman"/>
        </w:rPr>
        <w:t>MYYNTILUPIEN EHTOJEN MUUTTAMISELLE</w:t>
      </w:r>
    </w:p>
    <w:p w:rsidR="00B66B04" w:rsidRPr="00FD6BEA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EC106B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FD6BEA">
        <w:rPr>
          <w:rFonts w:ascii="Times New Roman" w:hAnsi="Times New Roman"/>
          <w:color w:val="339966"/>
          <w:sz w:val="22"/>
        </w:rPr>
        <w:t>[This Annex IV refers to CAPs]</w:t>
      </w:r>
    </w:p>
    <w:p w:rsidR="009D60A3" w:rsidRPr="00EC106B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EC106B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C106B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EC106B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EC106B">
        <w:br w:type="page"/>
      </w:r>
      <w:r w:rsidRPr="00EC106B">
        <w:rPr>
          <w:rFonts w:ascii="Times New Roman" w:hAnsi="Times New Roman"/>
          <w:b/>
          <w:i w:val="0"/>
          <w:color w:val="auto"/>
        </w:rPr>
        <w:t>Tieteelliset päätelmät</w:t>
      </w:r>
    </w:p>
    <w:p w:rsidR="009B5CE6" w:rsidRPr="00FD6BEA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B5CE6" w:rsidRPr="00EC106B" w:rsidP="00E7370A" w14:paraId="3D00ADA2" w14:textId="147A9695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EC106B">
        <w:rPr>
          <w:rFonts w:ascii="Times New Roman" w:hAnsi="Times New Roman"/>
          <w:i w:val="0"/>
          <w:color w:val="auto"/>
        </w:rPr>
        <w:t>Ottaen huomioon arviointiraportin, jonka lääketurvallisuuden riskinarviointikomitea (PRAC) on tehnyt {</w:t>
      </w:r>
      <w:r w:rsidR="001D47BD">
        <w:rPr>
          <w:rFonts w:ascii="Times New Roman" w:hAnsi="Times New Roman"/>
          <w:i w:val="0"/>
          <w:color w:val="auto"/>
        </w:rPr>
        <w:t xml:space="preserve">vaikuttavan aineen nimi / </w:t>
      </w:r>
      <w:r w:rsidRPr="00EC106B">
        <w:rPr>
          <w:rFonts w:ascii="Times New Roman" w:hAnsi="Times New Roman"/>
          <w:i w:val="0"/>
          <w:color w:val="auto"/>
        </w:rPr>
        <w:t>vaikuttavien aineiden nimet} koskevista määräaikaisista turvallisuuskatsauksista (PSUR), PRAC:n tieteelliset päätelmät ovat seuraavat:</w:t>
      </w:r>
    </w:p>
    <w:p w:rsidR="008E146B" w:rsidRPr="00FD6BEA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</w:p>
    <w:p w:rsidR="008E146B" w:rsidRPr="00646075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[Copy-paste from the</w:t>
      </w:r>
      <w:r w:rsidRPr="00FD6BEA">
        <w:rPr>
          <w:rFonts w:ascii="Times New Roman" w:hAnsi="Times New Roman"/>
          <w:i w:val="0"/>
          <w:lang w:val="en-US"/>
        </w:rPr>
        <w:t xml:space="preserve"> </w:t>
      </w:r>
      <w:r w:rsidRPr="00EC106B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FD6BEA">
        <w:rPr>
          <w:rFonts w:ascii="Times New Roman" w:hAnsi="Times New Roman"/>
          <w:i w:val="0"/>
          <w:lang w:val="en-US"/>
        </w:rPr>
        <w:t>PSUR PRAC AR</w:t>
      </w:r>
      <w:r w:rsidRPr="00EC106B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EC106B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EC106B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FD6BEA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EC106B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FD6BEA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[OPTION 1: CHMP agrees]</w:t>
      </w:r>
    </w:p>
    <w:p w:rsidR="0072084C" w:rsidRPr="00EC106B" w:rsidP="00E7370A" w14:paraId="29D61024" w14:textId="30CF57F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 xml:space="preserve">Arvioituaan PRAC:n suosituksen CHMP </w:t>
      </w:r>
      <w:r w:rsidR="00021AA7">
        <w:rPr>
          <w:rFonts w:ascii="Times New Roman" w:hAnsi="Times New Roman"/>
          <w:sz w:val="22"/>
        </w:rPr>
        <w:t>on samaa mieltä</w:t>
      </w:r>
      <w:r w:rsidRPr="00EC106B">
        <w:rPr>
          <w:rFonts w:ascii="Times New Roman" w:hAnsi="Times New Roman"/>
          <w:sz w:val="22"/>
        </w:rPr>
        <w:t xml:space="preserve"> PRAC:n yleis</w:t>
      </w:r>
      <w:r w:rsidR="00021AA7">
        <w:rPr>
          <w:rFonts w:ascii="Times New Roman" w:hAnsi="Times New Roman"/>
          <w:sz w:val="22"/>
        </w:rPr>
        <w:t>istä</w:t>
      </w:r>
      <w:r w:rsidRPr="00EC106B">
        <w:rPr>
          <w:rFonts w:ascii="Times New Roman" w:hAnsi="Times New Roman"/>
          <w:sz w:val="22"/>
        </w:rPr>
        <w:t xml:space="preserve"> päätelm</w:t>
      </w:r>
      <w:r w:rsidR="00021AA7">
        <w:rPr>
          <w:rFonts w:ascii="Times New Roman" w:hAnsi="Times New Roman"/>
          <w:sz w:val="22"/>
        </w:rPr>
        <w:t>ist</w:t>
      </w:r>
      <w:r w:rsidRPr="00EC106B">
        <w:rPr>
          <w:rFonts w:ascii="Times New Roman" w:hAnsi="Times New Roman"/>
          <w:sz w:val="22"/>
        </w:rPr>
        <w:t>ä ja suosituksen peruste</w:t>
      </w:r>
      <w:r w:rsidR="00021AA7">
        <w:rPr>
          <w:rFonts w:ascii="Times New Roman" w:hAnsi="Times New Roman"/>
          <w:sz w:val="22"/>
        </w:rPr>
        <w:t>ista</w:t>
      </w:r>
      <w:r w:rsidRPr="00EC106B">
        <w:rPr>
          <w:rFonts w:ascii="Times New Roman" w:hAnsi="Times New Roman"/>
          <w:sz w:val="22"/>
        </w:rPr>
        <w:t>.</w:t>
      </w:r>
    </w:p>
    <w:p w:rsidR="0072084C" w:rsidRPr="00EC106B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EC106B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EC106B">
        <w:rPr>
          <w:rFonts w:ascii="Times New Roman" w:hAnsi="Times New Roman"/>
        </w:rPr>
        <w:t>Myyntilupien ehtojen muuttamista puoltavat perusteet</w:t>
      </w:r>
    </w:p>
    <w:p w:rsidR="009B5CE6" w:rsidRPr="00FD6BEA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146B" w:rsidRPr="00EC106B" w:rsidP="00E7370A" w14:paraId="53F66ACC" w14:textId="45E006B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>{V</w:t>
      </w:r>
      <w:r w:rsidR="00FD6BEA">
        <w:rPr>
          <w:rFonts w:ascii="Times New Roman" w:hAnsi="Times New Roman"/>
          <w:sz w:val="22"/>
        </w:rPr>
        <w:t>aikuttavan aineen nimi / v</w:t>
      </w:r>
      <w:r w:rsidRPr="00EC106B">
        <w:rPr>
          <w:rFonts w:ascii="Times New Roman" w:hAnsi="Times New Roman"/>
          <w:sz w:val="22"/>
        </w:rPr>
        <w:t>aikuttavien aineiden nimet} koskevien tieteellisten päätelmien perusteella lääkevalmistekomitea katsoo, että {</w:t>
      </w:r>
      <w:r w:rsidR="00FD6BEA">
        <w:rPr>
          <w:rFonts w:ascii="Times New Roman" w:hAnsi="Times New Roman"/>
          <w:sz w:val="22"/>
        </w:rPr>
        <w:t>vaikuttavan aineen nimi /</w:t>
      </w:r>
      <w:r w:rsidRPr="00EC106B">
        <w:rPr>
          <w:rFonts w:ascii="Times New Roman" w:hAnsi="Times New Roman"/>
          <w:sz w:val="22"/>
        </w:rPr>
        <w:t>vaikuttavan aineiden nimet} sisältävien lääkevalmisteiden hyöty-haittatasapaino on muuttumaton edellyttäen, että valmistetietoja muutetaan ehdotetulla tavalla.</w:t>
      </w:r>
    </w:p>
    <w:p w:rsidR="009B5CE6" w:rsidRPr="00FD6BEA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D220ED" w:rsidRPr="00EC106B" w:rsidP="00E7370A" w14:paraId="5D1B17D9" w14:textId="3E6E3EB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C106B">
        <w:rPr>
          <w:rFonts w:ascii="Times New Roman" w:hAnsi="Times New Roman"/>
          <w:snapToGrid w:val="0"/>
          <w:sz w:val="22"/>
        </w:rPr>
        <w:t>Lääkevalmistekomitea suosittelee myyntiluvan</w:t>
      </w:r>
      <w:r w:rsidR="00FD6BEA">
        <w:rPr>
          <w:rFonts w:ascii="Times New Roman" w:hAnsi="Times New Roman"/>
          <w:snapToGrid w:val="0"/>
          <w:sz w:val="22"/>
        </w:rPr>
        <w:t xml:space="preserve"> (</w:t>
      </w:r>
      <w:r w:rsidRPr="00EC106B">
        <w:rPr>
          <w:rFonts w:ascii="Times New Roman" w:hAnsi="Times New Roman"/>
          <w:snapToGrid w:val="0"/>
          <w:sz w:val="22"/>
        </w:rPr>
        <w:t>myyntilupien</w:t>
      </w:r>
      <w:r w:rsidR="00FD6BEA">
        <w:rPr>
          <w:rFonts w:ascii="Times New Roman" w:hAnsi="Times New Roman"/>
          <w:snapToGrid w:val="0"/>
          <w:sz w:val="22"/>
        </w:rPr>
        <w:t>)</w:t>
      </w:r>
      <w:r w:rsidRPr="00EC106B">
        <w:rPr>
          <w:rFonts w:ascii="Times New Roman" w:hAnsi="Times New Roman"/>
          <w:snapToGrid w:val="0"/>
          <w:sz w:val="22"/>
        </w:rPr>
        <w:t xml:space="preserve"> muuttamista.</w:t>
      </w:r>
    </w:p>
    <w:p w:rsidR="0072084C" w:rsidRPr="00EC106B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EC106B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FD6BEA">
        <w:rPr>
          <w:rFonts w:ascii="Times New Roman" w:hAnsi="Times New Roman"/>
          <w:i w:val="0"/>
        </w:rPr>
        <w:t>[OPTION 2: CHMP disagrees]</w:t>
      </w:r>
    </w:p>
    <w:p w:rsidR="0072084C" w:rsidRPr="00EC106B" w:rsidP="00E7370A" w14:paraId="761F8CA6" w14:textId="5D12369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>Arvioituaan PRAC:n suosituksen lääkevalmistekomitea ei ole samaa mieltä PRAC:n yleisistä päätelmistä ja suosituksen perusteista.</w:t>
      </w:r>
    </w:p>
    <w:p w:rsidR="0072084C" w:rsidRPr="00EC106B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EC106B" w:rsidP="004873DF" w14:paraId="103BA754" w14:textId="2669FBEE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EC106B">
        <w:rPr>
          <w:rFonts w:ascii="Times New Roman" w:hAnsi="Times New Roman"/>
          <w:sz w:val="22"/>
          <w:u w:val="single"/>
        </w:rPr>
        <w:t xml:space="preserve">Yksityiskohtainen selvitys tieteellisistä perusteista, jotka koskevat </w:t>
      </w:r>
      <w:r w:rsidR="00FD6BEA">
        <w:rPr>
          <w:rFonts w:ascii="Times New Roman" w:hAnsi="Times New Roman"/>
          <w:sz w:val="22"/>
          <w:u w:val="single"/>
        </w:rPr>
        <w:t xml:space="preserve">eroavaisuuksia </w:t>
      </w:r>
      <w:r w:rsidRPr="00EC106B">
        <w:rPr>
          <w:rFonts w:ascii="Times New Roman" w:hAnsi="Times New Roman"/>
          <w:sz w:val="22"/>
          <w:u w:val="single"/>
        </w:rPr>
        <w:t xml:space="preserve">PRAC:n suositukseen </w:t>
      </w:r>
      <w:r w:rsidR="00FD6BEA">
        <w:rPr>
          <w:rFonts w:ascii="Times New Roman" w:hAnsi="Times New Roman"/>
          <w:sz w:val="22"/>
          <w:u w:val="single"/>
        </w:rPr>
        <w:t>nähden</w:t>
      </w:r>
    </w:p>
    <w:p w:rsidR="0072084C" w:rsidRPr="00FD6BEA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FD6BEA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FD6BEA" w:rsidP="004873DF" w14:paraId="3BD9F988" w14:textId="77777777">
      <w:pPr>
        <w:pStyle w:val="BodytextAgency"/>
        <w:spacing w:after="0" w:line="240" w:lineRule="auto"/>
        <w:rPr>
          <w:lang w:val="en-US"/>
        </w:rPr>
      </w:pPr>
    </w:p>
    <w:p w:rsidR="0072084C" w:rsidRPr="00EC106B" w:rsidP="004873DF" w14:paraId="4A151DF2" w14:textId="4B1E9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>PRAC:n suosituksen &lt;ja lääkevalmistekomiteassa käydyt keskustelut&gt; huomioon ottaen lääkevalmistekomitea katsoo,</w:t>
      </w:r>
    </w:p>
    <w:p w:rsidR="004873DF" w:rsidRPr="00EC106B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FD6BEA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EC106B" w:rsidP="004873DF" w14:paraId="72042AA6" w14:textId="5AA79039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C106B">
        <w:rPr>
          <w:rFonts w:ascii="Times New Roman" w:hAnsi="Times New Roman"/>
          <w:snapToGrid w:val="0"/>
          <w:sz w:val="22"/>
        </w:rPr>
        <w:t>&lt;että {vaikuttavan aineen nimi / vaikuttavien aineiden nimet} sisältävien lääkevalmisteiden hyöty</w:t>
      </w:r>
      <w:r w:rsidR="00FD6BEA">
        <w:rPr>
          <w:rFonts w:ascii="Times New Roman" w:hAnsi="Times New Roman"/>
          <w:snapToGrid w:val="0"/>
          <w:sz w:val="22"/>
        </w:rPr>
        <w:t>-riskitasapaino</w:t>
      </w:r>
      <w:r w:rsidRPr="00EC106B">
        <w:rPr>
          <w:rFonts w:ascii="Times New Roman" w:hAnsi="Times New Roman"/>
          <w:snapToGrid w:val="0"/>
          <w:sz w:val="22"/>
        </w:rPr>
        <w:t xml:space="preserve"> säilyy muuttumattomana, ja se suosittelee &lt;yksimielisellä &gt;&lt;enemmistö&gt;päätöksellä myyntiluvan (-lupien) säilyttämistä.&gt;</w:t>
      </w:r>
    </w:p>
    <w:p w:rsidR="004873DF" w:rsidRPr="00EC106B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FD6BEA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EC106B" w:rsidP="004873DF" w14:paraId="054A0853" w14:textId="06C455D2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C106B">
        <w:rPr>
          <w:rFonts w:ascii="Times New Roman" w:hAnsi="Times New Roman"/>
          <w:snapToGrid w:val="0"/>
          <w:sz w:val="22"/>
        </w:rPr>
        <w:t>&lt;että {vaikuttavan aineen nimi / vaikuttavien aineiden nimet} sisältävien lääkevalmisteiden hyöty</w:t>
      </w:r>
      <w:r w:rsidR="00307784">
        <w:rPr>
          <w:rFonts w:ascii="Times New Roman" w:hAnsi="Times New Roman"/>
          <w:snapToGrid w:val="0"/>
          <w:sz w:val="22"/>
        </w:rPr>
        <w:t>-riskitasapaino</w:t>
      </w:r>
      <w:r w:rsidRPr="00EC106B">
        <w:rPr>
          <w:rFonts w:ascii="Times New Roman" w:hAnsi="Times New Roman"/>
          <w:snapToGrid w:val="0"/>
          <w:sz w:val="22"/>
        </w:rPr>
        <w:t xml:space="preserve"> säilyy muuttumattomana, mutta </w:t>
      </w:r>
      <w:r w:rsidR="00002A7B">
        <w:rPr>
          <w:rFonts w:ascii="Times New Roman" w:hAnsi="Times New Roman"/>
          <w:snapToGrid w:val="0"/>
          <w:sz w:val="22"/>
        </w:rPr>
        <w:t xml:space="preserve">se </w:t>
      </w:r>
      <w:r w:rsidRPr="00EC106B">
        <w:rPr>
          <w:rFonts w:ascii="Times New Roman" w:hAnsi="Times New Roman"/>
          <w:snapToGrid w:val="0"/>
          <w:sz w:val="22"/>
        </w:rPr>
        <w:t xml:space="preserve">suosittelee &lt;yksimielisellä </w:t>
      </w:r>
      <w:r w:rsidR="00002A7B">
        <w:rPr>
          <w:rFonts w:ascii="Times New Roman" w:hAnsi="Times New Roman"/>
          <w:snapToGrid w:val="0"/>
          <w:sz w:val="22"/>
        </w:rPr>
        <w:t>päätöksellä</w:t>
      </w:r>
      <w:r w:rsidRPr="00EC106B">
        <w:rPr>
          <w:rFonts w:ascii="Times New Roman" w:hAnsi="Times New Roman"/>
          <w:snapToGrid w:val="0"/>
          <w:sz w:val="22"/>
        </w:rPr>
        <w:t>&gt;&lt;enemmistöpäätöksellä</w:t>
      </w:r>
      <w:r w:rsidR="00002A7B">
        <w:rPr>
          <w:rFonts w:ascii="Times New Roman" w:hAnsi="Times New Roman"/>
          <w:snapToGrid w:val="0"/>
          <w:sz w:val="22"/>
        </w:rPr>
        <w:t>&gt;</w:t>
      </w:r>
      <w:r w:rsidRPr="00EC106B">
        <w:rPr>
          <w:rFonts w:ascii="Times New Roman" w:hAnsi="Times New Roman"/>
          <w:snapToGrid w:val="0"/>
          <w:sz w:val="22"/>
        </w:rPr>
        <w:t xml:space="preserve"> myyntiluvan (-lupien) ehtojen muuttamista seuraavasti:</w:t>
      </w:r>
    </w:p>
    <w:p w:rsidR="0072084C" w:rsidRPr="00FD6BEA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FD6BEA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72084C" w:rsidRPr="00FD6BEA" w:rsidP="004873DF" w14:paraId="767B05E8" w14:textId="2436B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EC106B">
        <w:rPr>
          <w:rFonts w:ascii="Times New Roman" w:hAnsi="Times New Roman"/>
          <w:sz w:val="22"/>
        </w:rPr>
        <w:t xml:space="preserve">&lt;Valmisteyhteenvedon kohtaa </w:t>
      </w:r>
      <w:r w:rsidR="00307784">
        <w:rPr>
          <w:rFonts w:ascii="Times New Roman" w:hAnsi="Times New Roman"/>
          <w:sz w:val="22"/>
        </w:rPr>
        <w:t xml:space="preserve">(kohtia) </w:t>
      </w:r>
      <w:r w:rsidRPr="00EC106B">
        <w:rPr>
          <w:rFonts w:ascii="Times New Roman" w:hAnsi="Times New Roman"/>
          <w:sz w:val="22"/>
        </w:rPr>
        <w:t>{n} &lt;ja {n}&gt; ajantasaistetaan lisäämällä siihen</w:t>
      </w:r>
      <w:r w:rsidR="00307784">
        <w:rPr>
          <w:rFonts w:ascii="Times New Roman" w:hAnsi="Times New Roman"/>
          <w:sz w:val="22"/>
        </w:rPr>
        <w:t xml:space="preserve"> (niihin)</w:t>
      </w:r>
      <w:r w:rsidRPr="00EC106B">
        <w:rPr>
          <w:rFonts w:ascii="Times New Roman" w:hAnsi="Times New Roman"/>
          <w:sz w:val="22"/>
        </w:rPr>
        <w:t xml:space="preserve"> &lt;haittavaikutus {x}, jonka esiintyvyys on {y}&gt; &lt;varoitus {z}&gt;&lt;...&gt;. </w:t>
      </w:r>
      <w:r w:rsidRPr="00FD6BEA">
        <w:rPr>
          <w:rFonts w:ascii="Times New Roman" w:hAnsi="Times New Roman"/>
          <w:sz w:val="22"/>
          <w:lang w:val="en-US"/>
        </w:rPr>
        <w:t>&lt;Pakkausseloste on päivitettävä vastaavasti.&gt;&gt;</w:t>
      </w:r>
    </w:p>
    <w:p w:rsidR="00CF3502" w:rsidRPr="00EC106B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FD6BEA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EC106B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>&lt;Myyntiluvalle asetetut ehdot ovat seuraavat:&gt;</w:t>
      </w:r>
    </w:p>
    <w:p w:rsidR="0072084C" w:rsidRPr="00EC106B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FD6BEA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EC106B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EC106B" w:rsidP="004873DF" w14:paraId="28774868" w14:textId="700C7CB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 xml:space="preserve">Myyntiluvan </w:t>
      </w:r>
      <w:r w:rsidR="00791156">
        <w:rPr>
          <w:rFonts w:ascii="Times New Roman" w:hAnsi="Times New Roman"/>
          <w:sz w:val="22"/>
        </w:rPr>
        <w:t>haltijan (</w:t>
      </w:r>
      <w:r w:rsidRPr="00EC106B">
        <w:rPr>
          <w:rFonts w:ascii="Times New Roman" w:hAnsi="Times New Roman"/>
          <w:sz w:val="22"/>
        </w:rPr>
        <w:t>haltijoiden</w:t>
      </w:r>
      <w:r w:rsidR="00791156">
        <w:rPr>
          <w:rFonts w:ascii="Times New Roman" w:hAnsi="Times New Roman"/>
          <w:sz w:val="22"/>
        </w:rPr>
        <w:t>)</w:t>
      </w:r>
      <w:r w:rsidRPr="00EC106B">
        <w:rPr>
          <w:rFonts w:ascii="Times New Roman" w:hAnsi="Times New Roman"/>
          <w:sz w:val="22"/>
        </w:rPr>
        <w:t xml:space="preserve"> on lisäksi käsiteltävä seuraavassa määräaikaisessa turvallisuuskatsauksessa seuraavia kysymyksiä:</w:t>
      </w:r>
    </w:p>
    <w:p w:rsidR="0072084C" w:rsidRPr="00EC106B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color w:val="339966"/>
          <w:sz w:val="22"/>
          <w:lang w:val="en-GB"/>
        </w:rPr>
        <w:t>[list]</w:t>
      </w:r>
      <w:r w:rsidRPr="00EC106B">
        <w:rPr>
          <w:rFonts w:ascii="Times New Roman" w:hAnsi="Times New Roman"/>
          <w:sz w:val="22"/>
          <w:lang w:val="en-GB"/>
        </w:rPr>
        <w:t>&gt;</w:t>
      </w:r>
    </w:p>
    <w:p w:rsidR="00F304FB" w:rsidRPr="00EC106B" w:rsidP="00F304FB" w14:paraId="59AE0BC3" w14:textId="507FF8A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sz w:val="22"/>
        </w:rPr>
        <w:t xml:space="preserve">Myyntiluvan </w:t>
      </w:r>
      <w:r w:rsidR="00791156">
        <w:rPr>
          <w:rFonts w:ascii="Times New Roman" w:hAnsi="Times New Roman"/>
          <w:sz w:val="22"/>
        </w:rPr>
        <w:t>haltijan (</w:t>
      </w:r>
      <w:r w:rsidRPr="00EC106B">
        <w:rPr>
          <w:rFonts w:ascii="Times New Roman" w:hAnsi="Times New Roman"/>
          <w:sz w:val="22"/>
        </w:rPr>
        <w:t>haltijoiden</w:t>
      </w:r>
      <w:r w:rsidR="00791156">
        <w:rPr>
          <w:rFonts w:ascii="Times New Roman" w:hAnsi="Times New Roman"/>
          <w:sz w:val="22"/>
        </w:rPr>
        <w:t>)</w:t>
      </w:r>
      <w:r w:rsidRPr="00EC106B">
        <w:rPr>
          <w:rFonts w:ascii="Times New Roman" w:hAnsi="Times New Roman"/>
          <w:sz w:val="22"/>
        </w:rPr>
        <w:t xml:space="preserve"> on lisäksi toimitettava ajantasaistettu riskienhallintasuunnitelma </w:t>
      </w:r>
      <w:r w:rsidRPr="00EC106B" w:rsidR="006D7881">
        <w:rPr>
          <w:rFonts w:ascii="Times New Roman" w:hAnsi="Times New Roman"/>
          <w:sz w:val="22"/>
        </w:rPr>
        <w:t>{x}</w:t>
      </w:r>
      <w:r w:rsidRPr="00EC106B">
        <w:rPr>
          <w:rFonts w:ascii="Times New Roman" w:hAnsi="Times New Roman"/>
          <w:sz w:val="22"/>
        </w:rPr>
        <w:t xml:space="preserve"> kuukauden kuluessa seuraavien kysymysten käsittelemiseksi:</w:t>
      </w:r>
    </w:p>
    <w:p w:rsidR="00F304FB" w:rsidRPr="00EC106B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C106B">
        <w:rPr>
          <w:rFonts w:ascii="Times New Roman" w:hAnsi="Times New Roman"/>
          <w:color w:val="339966"/>
          <w:sz w:val="22"/>
          <w:lang w:val="en-GB"/>
        </w:rPr>
        <w:t>[list]</w:t>
      </w:r>
      <w:r w:rsidRPr="00EC106B">
        <w:rPr>
          <w:rFonts w:ascii="Times New Roman" w:hAnsi="Times New Roman"/>
          <w:sz w:val="22"/>
          <w:lang w:val="en-GB"/>
        </w:rPr>
        <w:t>&gt;</w:t>
      </w:r>
    </w:p>
    <w:p w:rsidR="0072084C" w:rsidRPr="00EC106B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C106B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EC106B" w14:paraId="23A559AB" w14:textId="77777777">
    <w:pPr>
      <w:pStyle w:val="Footer"/>
      <w:jc w:val="center"/>
    </w:pPr>
    <w:r w:rsidRPr="00EC106B">
      <w:fldChar w:fldCharType="begin"/>
    </w:r>
    <w:r w:rsidRPr="00EC106B">
      <w:instrText xml:space="preserve"> PAGE   \* MERGEFORMAT </w:instrText>
    </w:r>
    <w:r w:rsidRPr="00EC106B">
      <w:fldChar w:fldCharType="separate"/>
    </w:r>
    <w:r w:rsidRPr="00EC106B" w:rsidR="003E591C">
      <w:t>3</w:t>
    </w:r>
    <w:r w:rsidRPr="00EC106B">
      <w:fldChar w:fldCharType="end"/>
    </w:r>
  </w:p>
  <w:p w:rsidR="0008729F" w:rsidRPr="00EC106B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C106B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C106B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C106B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EC106B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EC106B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EC106B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2A7B"/>
    <w:rsid w:val="00003A79"/>
    <w:rsid w:val="00010E79"/>
    <w:rsid w:val="000134EA"/>
    <w:rsid w:val="000155A6"/>
    <w:rsid w:val="00016D7A"/>
    <w:rsid w:val="00020FD6"/>
    <w:rsid w:val="00021AA7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43E0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839E4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7BD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0714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07784"/>
    <w:rsid w:val="0031048E"/>
    <w:rsid w:val="00310FBD"/>
    <w:rsid w:val="00322AD8"/>
    <w:rsid w:val="00323F71"/>
    <w:rsid w:val="0032744C"/>
    <w:rsid w:val="00330FAE"/>
    <w:rsid w:val="003317F1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0EDB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154C1"/>
    <w:rsid w:val="00623094"/>
    <w:rsid w:val="0062342D"/>
    <w:rsid w:val="00644B7F"/>
    <w:rsid w:val="00646075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D7881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9BF"/>
    <w:rsid w:val="00774B9B"/>
    <w:rsid w:val="0077621C"/>
    <w:rsid w:val="00776623"/>
    <w:rsid w:val="0078166E"/>
    <w:rsid w:val="00791156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5EF8"/>
    <w:rsid w:val="008464F8"/>
    <w:rsid w:val="00850D63"/>
    <w:rsid w:val="00851149"/>
    <w:rsid w:val="008524A0"/>
    <w:rsid w:val="00853958"/>
    <w:rsid w:val="00854A1F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2B5D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07C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6A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106B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BEA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fi-FI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HannexIVpsur_en</vt:lpstr>
      <vt:lpstr>HannexIVpsur_en</vt:lpstr>
    </vt:vector>
  </TitlesOfParts>
  <Company>CDT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HannexIVpsur_FI</dc:title>
  <dc:creator>CDT</dc:creator>
  <cp:lastModifiedBy>Akhtar Tia</cp:lastModifiedBy>
  <cp:revision>5</cp:revision>
  <cp:lastPrinted>2014-01-22T14:19:00Z</cp:lastPrinted>
  <dcterms:created xsi:type="dcterms:W3CDTF">2023-12-22T10:51:00Z</dcterms:created>
  <dcterms:modified xsi:type="dcterms:W3CDTF">2024-01-16T09:07:00Z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10:08:04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EMA/6575/2024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EMA/6575/2024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12:44:10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12:44:10</vt:lpwstr>
  </property>
  <property fmtid="{D5CDD505-2E9C-101B-9397-08002B2CF9AE}" pid="36" name="DM_Name">
    <vt:lpwstr>HannexIVpsur_FI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3168aadf-81d9-4db9-b632-f43c7d74b069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2024-01-16T09:07:52Z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